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C716E4">
        <w:rPr>
          <w:b/>
          <w:sz w:val="28"/>
          <w:szCs w:val="28"/>
        </w:rPr>
        <w:t>мая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C716E4">
        <w:rPr>
          <w:kern w:val="2"/>
          <w:sz w:val="28"/>
          <w:szCs w:val="28"/>
        </w:rPr>
        <w:t>мая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2773A9">
        <w:rPr>
          <w:kern w:val="2"/>
          <w:sz w:val="28"/>
          <w:szCs w:val="28"/>
        </w:rPr>
        <w:t xml:space="preserve">256766,9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A319E1" w:rsidRPr="00A319E1">
        <w:rPr>
          <w:kern w:val="2"/>
          <w:sz w:val="28"/>
          <w:szCs w:val="28"/>
        </w:rPr>
        <w:t>3,</w:t>
      </w:r>
      <w:r w:rsidR="00C716E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2773A9">
        <w:rPr>
          <w:b/>
          <w:sz w:val="28"/>
          <w:szCs w:val="28"/>
        </w:rPr>
        <w:t>мае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3A402A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A402A" w:rsidRPr="00957BD2" w:rsidRDefault="003A402A" w:rsidP="003A402A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3A402A" w:rsidRPr="00957BD2" w:rsidRDefault="003A402A" w:rsidP="003A402A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DC2FCD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256766,9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DC2FCD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9583,3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DC2FCD" w:rsidP="003A40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A402A" w:rsidRPr="00091605" w:rsidRDefault="00DC2FCD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A402A" w:rsidRPr="00091605" w:rsidRDefault="00DC2FCD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105,6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2419,1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116099,8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4670,4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10757,4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90748,</w:t>
            </w:r>
            <w:r w:rsidR="00DE74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12004,5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3520,</w:t>
            </w:r>
            <w:r w:rsidR="00DE74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1E2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2589,1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51873,7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1E3295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873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52709,</w:t>
            </w:r>
            <w:r w:rsidR="008738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38BF"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5A3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C0521" w:rsidRPr="006D7207" w:rsidRDefault="00BB1A17" w:rsidP="001C052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8738BF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17838,9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DC2FCD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</w:t>
            </w:r>
            <w:r w:rsidR="008738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DC2FCD" w:rsidRPr="006D7207" w:rsidRDefault="00DC2FCD" w:rsidP="00DC2F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34348,4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632,9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127,7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6270,8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DC2F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DC2FCD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DE7425" w:rsidP="00873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C2FCD">
              <w:rPr>
                <w:color w:val="000000"/>
                <w:sz w:val="24"/>
                <w:szCs w:val="24"/>
              </w:rPr>
              <w:t>778,</w:t>
            </w:r>
            <w:r w:rsidR="00873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DC2FCD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DC2FCD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DC2FCD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DC2FCD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E4687C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E4687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40081" w:rsidRPr="006D7207" w:rsidRDefault="00BB1A17" w:rsidP="0034008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E4687C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E4687C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E4687C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427F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510F5B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510F5B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E4687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7309E2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831D98" w:rsidRDefault="00831D98" w:rsidP="00240ACC">
      <w:pPr>
        <w:ind w:firstLine="709"/>
        <w:jc w:val="both"/>
        <w:rPr>
          <w:b/>
          <w:kern w:val="2"/>
          <w:sz w:val="28"/>
          <w:szCs w:val="28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831D98">
        <w:rPr>
          <w:kern w:val="2"/>
          <w:sz w:val="28"/>
          <w:szCs w:val="28"/>
        </w:rPr>
        <w:t>мая</w:t>
      </w:r>
      <w:r w:rsidR="00672B41">
        <w:rPr>
          <w:kern w:val="2"/>
          <w:sz w:val="28"/>
          <w:szCs w:val="28"/>
        </w:rPr>
        <w:t xml:space="preserve">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831D98">
        <w:rPr>
          <w:kern w:val="2"/>
          <w:sz w:val="28"/>
          <w:szCs w:val="28"/>
        </w:rPr>
        <w:t>193341,1</w:t>
      </w:r>
      <w:r w:rsidR="00831D98"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240ACC">
        <w:rPr>
          <w:kern w:val="2"/>
          <w:sz w:val="28"/>
          <w:szCs w:val="28"/>
        </w:rPr>
        <w:t>8,</w:t>
      </w:r>
      <w:r w:rsidR="00831D98">
        <w:rPr>
          <w:kern w:val="2"/>
          <w:sz w:val="28"/>
          <w:szCs w:val="28"/>
        </w:rPr>
        <w:t>5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31D98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831D98" w:rsidP="007C47DA">
            <w:pPr>
              <w:jc w:val="right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193341,1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7F297B" w:rsidRDefault="007F297B" w:rsidP="007917F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16490,2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7F297B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D1691A" w:rsidRDefault="007F297B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D1691A" w:rsidRDefault="007F297B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3797,4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DE7425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95276,</w:t>
            </w:r>
            <w:r w:rsidR="00DE7425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9400,3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66620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11354,5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5781,3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73050,6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7950,5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1787,0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7309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</w:t>
            </w:r>
            <w:r w:rsidR="007309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2920,4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DE742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1250,7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134,9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33577,7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240ACC" w:rsidRPr="007C20C9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16273,0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7309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</w:t>
            </w:r>
            <w:r w:rsidR="007309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8084,1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2762,9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8145,2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4952,9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4683,0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A2487E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90DF4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7F297B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274A86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74A86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274A86" w:rsidRPr="007C20C9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274A86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274A86" w:rsidRPr="006D7207" w:rsidRDefault="007F297B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274A86" w:rsidRPr="006D7207" w:rsidRDefault="00070813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56" w:rsidRDefault="00C60356" w:rsidP="009A5F21">
      <w:r>
        <w:separator/>
      </w:r>
    </w:p>
  </w:endnote>
  <w:endnote w:type="continuationSeparator" w:id="0">
    <w:p w:rsidR="00C60356" w:rsidRDefault="00C60356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56" w:rsidRDefault="00C60356" w:rsidP="009A5F21">
      <w:r>
        <w:separator/>
      </w:r>
    </w:p>
  </w:footnote>
  <w:footnote w:type="continuationSeparator" w:id="0">
    <w:p w:rsidR="00C60356" w:rsidRDefault="00C60356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0813"/>
    <w:rsid w:val="000721CB"/>
    <w:rsid w:val="00073FA9"/>
    <w:rsid w:val="000817D8"/>
    <w:rsid w:val="00085639"/>
    <w:rsid w:val="00085DCF"/>
    <w:rsid w:val="00086026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92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3A9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A61DC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1AB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133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4CE0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A337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0F34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43CD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20B"/>
    <w:rsid w:val="006667A8"/>
    <w:rsid w:val="00670EAE"/>
    <w:rsid w:val="00672893"/>
    <w:rsid w:val="00672B41"/>
    <w:rsid w:val="0067395C"/>
    <w:rsid w:val="0068110A"/>
    <w:rsid w:val="00682ECE"/>
    <w:rsid w:val="006869EE"/>
    <w:rsid w:val="00686C63"/>
    <w:rsid w:val="00687A95"/>
    <w:rsid w:val="00690054"/>
    <w:rsid w:val="00690DF4"/>
    <w:rsid w:val="00690E60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2872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3D02"/>
    <w:rsid w:val="00724245"/>
    <w:rsid w:val="00724B78"/>
    <w:rsid w:val="00724C0F"/>
    <w:rsid w:val="0072560B"/>
    <w:rsid w:val="00727C99"/>
    <w:rsid w:val="00727D48"/>
    <w:rsid w:val="007309E2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17F3"/>
    <w:rsid w:val="00792BB0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47DA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297B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1D98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48BD"/>
    <w:rsid w:val="0084641F"/>
    <w:rsid w:val="008514FE"/>
    <w:rsid w:val="00851709"/>
    <w:rsid w:val="00851A23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8BF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2487E"/>
    <w:rsid w:val="00A31780"/>
    <w:rsid w:val="00A319E1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5D3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1A17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356"/>
    <w:rsid w:val="00C60989"/>
    <w:rsid w:val="00C6131C"/>
    <w:rsid w:val="00C614F4"/>
    <w:rsid w:val="00C6152C"/>
    <w:rsid w:val="00C62269"/>
    <w:rsid w:val="00C64EA0"/>
    <w:rsid w:val="00C665F0"/>
    <w:rsid w:val="00C716E4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48F4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B66FA"/>
    <w:rsid w:val="00DC0D60"/>
    <w:rsid w:val="00DC2FCD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E7425"/>
    <w:rsid w:val="00DF1660"/>
    <w:rsid w:val="00DF39BF"/>
    <w:rsid w:val="00DF5977"/>
    <w:rsid w:val="00DF6831"/>
    <w:rsid w:val="00DF6E22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687C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3FEA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77D6D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F611-21B6-4385-A7DE-C5FDEF74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2023-04-17T08:28:00Z</dcterms:created>
  <dcterms:modified xsi:type="dcterms:W3CDTF">2023-07-25T11:46:00Z</dcterms:modified>
</cp:coreProperties>
</file>